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0698" w14:textId="77777777" w:rsidR="00A27E78" w:rsidRPr="00101D84" w:rsidRDefault="00A27E78">
      <w:pPr>
        <w:rPr>
          <w:rFonts w:ascii="Bookman Old Style" w:hAnsi="Bookman Old Style"/>
          <w:sz w:val="24"/>
          <w:szCs w:val="24"/>
        </w:rPr>
      </w:pPr>
    </w:p>
    <w:p w14:paraId="5232D666" w14:textId="05ACAB7E" w:rsidR="00C70909" w:rsidRPr="00101D84" w:rsidRDefault="00C70909" w:rsidP="00C70909">
      <w:pPr>
        <w:jc w:val="center"/>
        <w:rPr>
          <w:rFonts w:ascii="Bookman Old Style" w:hAnsi="Bookman Old Style"/>
          <w:b/>
          <w:sz w:val="24"/>
          <w:szCs w:val="24"/>
        </w:rPr>
      </w:pPr>
      <w:r w:rsidRPr="00101D84">
        <w:rPr>
          <w:rFonts w:ascii="Bookman Old Style" w:hAnsi="Bookman Old Style"/>
          <w:b/>
          <w:sz w:val="24"/>
          <w:szCs w:val="24"/>
        </w:rPr>
        <w:t>CONCOURS D’ENTREE 20</w:t>
      </w:r>
      <w:r w:rsidR="008F40CF">
        <w:rPr>
          <w:rFonts w:ascii="Bookman Old Style" w:hAnsi="Bookman Old Style"/>
          <w:b/>
          <w:sz w:val="24"/>
          <w:szCs w:val="24"/>
        </w:rPr>
        <w:t>21</w:t>
      </w:r>
    </w:p>
    <w:p w14:paraId="0357F773" w14:textId="77777777" w:rsidR="00C70909" w:rsidRPr="00101D84" w:rsidRDefault="00C70909" w:rsidP="00C70909">
      <w:pPr>
        <w:jc w:val="center"/>
        <w:rPr>
          <w:rFonts w:ascii="Bookman Old Style" w:hAnsi="Bookman Old Style"/>
          <w:b/>
          <w:sz w:val="24"/>
          <w:szCs w:val="24"/>
        </w:rPr>
      </w:pPr>
      <w:r w:rsidRPr="00101D84">
        <w:rPr>
          <w:rFonts w:ascii="Bookman Old Style" w:hAnsi="Bookman Old Style"/>
          <w:b/>
          <w:sz w:val="24"/>
          <w:szCs w:val="24"/>
        </w:rPr>
        <w:t>ECOLE DE JOURNALISME</w:t>
      </w:r>
    </w:p>
    <w:p w14:paraId="60BCBBEF" w14:textId="77777777" w:rsidR="00C70909" w:rsidRPr="00101D84" w:rsidRDefault="00C70909" w:rsidP="00C70909">
      <w:pPr>
        <w:rPr>
          <w:rFonts w:ascii="Bookman Old Style" w:hAnsi="Bookman Old Style"/>
          <w:sz w:val="24"/>
          <w:szCs w:val="24"/>
        </w:rPr>
      </w:pPr>
    </w:p>
    <w:p w14:paraId="4382B2C4" w14:textId="77777777" w:rsidR="00C70909" w:rsidRPr="00101D84" w:rsidRDefault="00C70909" w:rsidP="00C70909">
      <w:pPr>
        <w:rPr>
          <w:rFonts w:ascii="Bookman Old Style" w:hAnsi="Bookman Old Style"/>
          <w:sz w:val="24"/>
          <w:szCs w:val="24"/>
        </w:rPr>
      </w:pPr>
      <w:r w:rsidRPr="00101D84">
        <w:rPr>
          <w:rFonts w:ascii="Bookman Old Style" w:hAnsi="Bookman Old Style"/>
          <w:sz w:val="24"/>
          <w:szCs w:val="24"/>
        </w:rPr>
        <w:t xml:space="preserve">EPREUVE : </w:t>
      </w:r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>Techniques rédactionnelles</w:t>
      </w:r>
    </w:p>
    <w:p w14:paraId="0810D51C" w14:textId="77777777" w:rsidR="00C70909" w:rsidRPr="00101D84" w:rsidRDefault="007F1E74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</w:t>
      </w:r>
    </w:p>
    <w:p w14:paraId="08CC46BA" w14:textId="77777777" w:rsidR="007F1E74" w:rsidRPr="00101D84" w:rsidRDefault="007F1E74" w:rsidP="007F1E74">
      <w:pPr>
        <w:rPr>
          <w:rFonts w:ascii="Bookman Old Style" w:hAnsi="Bookman Old Style"/>
          <w:sz w:val="24"/>
          <w:szCs w:val="24"/>
        </w:rPr>
      </w:pPr>
      <w:r w:rsidRPr="00101D84">
        <w:rPr>
          <w:rFonts w:ascii="Bookman Old Style" w:hAnsi="Bookman Old Style"/>
          <w:sz w:val="24"/>
          <w:szCs w:val="24"/>
        </w:rPr>
        <w:t>Durée : 45 minutes</w:t>
      </w:r>
    </w:p>
    <w:p w14:paraId="1FC1FFD9" w14:textId="77777777" w:rsidR="007F1E74" w:rsidRPr="00101D84" w:rsidRDefault="007F1E74" w:rsidP="007F1E74">
      <w:pPr>
        <w:rPr>
          <w:rFonts w:ascii="Bookman Old Style" w:hAnsi="Bookman Old Style"/>
          <w:sz w:val="24"/>
          <w:szCs w:val="24"/>
        </w:rPr>
      </w:pPr>
      <w:r w:rsidRPr="00101D84">
        <w:rPr>
          <w:rFonts w:ascii="Bookman Old Style" w:hAnsi="Bookman Old Style"/>
          <w:sz w:val="24"/>
          <w:szCs w:val="24"/>
        </w:rPr>
        <w:t>Barème : / 20 points</w:t>
      </w:r>
    </w:p>
    <w:p w14:paraId="7080FD19" w14:textId="77777777" w:rsidR="007F1E74" w:rsidRPr="00101D84" w:rsidRDefault="007F1E74" w:rsidP="007F1E74">
      <w:pPr>
        <w:rPr>
          <w:rFonts w:ascii="Bookman Old Style" w:hAnsi="Bookman Old Style"/>
          <w:sz w:val="24"/>
          <w:szCs w:val="24"/>
        </w:rPr>
      </w:pPr>
      <w:r w:rsidRPr="00101D84">
        <w:rPr>
          <w:rFonts w:ascii="Bookman Old Style" w:hAnsi="Bookman Old Style"/>
          <w:sz w:val="24"/>
          <w:szCs w:val="24"/>
        </w:rPr>
        <w:t>Coef : 1</w:t>
      </w:r>
    </w:p>
    <w:p w14:paraId="1F7A9D0C" w14:textId="77777777" w:rsidR="007F1E74" w:rsidRPr="00101D84" w:rsidRDefault="007F1E74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</w:t>
      </w:r>
    </w:p>
    <w:p w14:paraId="3DE79DAA" w14:textId="77777777" w:rsidR="00C70909" w:rsidRPr="00101D84" w:rsidRDefault="00C7090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79986775" w14:textId="77777777" w:rsidR="00C70909" w:rsidRPr="00101D84" w:rsidRDefault="00C70909" w:rsidP="00C70909">
      <w:pPr>
        <w:pStyle w:val="Paragraphedeliste"/>
        <w:numPr>
          <w:ilvl w:val="0"/>
          <w:numId w:val="1"/>
        </w:num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Synthèse articulée</w:t>
      </w:r>
      <w:r w:rsidR="007F1E74"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> : 10 points</w:t>
      </w:r>
    </w:p>
    <w:p w14:paraId="66C5F880" w14:textId="77777777" w:rsidR="00C70909" w:rsidRPr="00101D84" w:rsidRDefault="00C7090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53DB3039" w14:textId="77777777" w:rsidR="00AA4DC7" w:rsidRPr="00101D84" w:rsidRDefault="00AA4DC7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1AD5DFDD" w14:textId="7CC71380" w:rsidR="00AA4DC7" w:rsidRPr="00101D84" w:rsidRDefault="00AA4DC7" w:rsidP="00AA4DC7">
      <w:pPr>
        <w:rPr>
          <w:rFonts w:ascii="Bookman Old Style" w:hAnsi="Bookman Old Style" w:cs="DINOT-Bold"/>
          <w:b/>
          <w:bCs/>
          <w:sz w:val="24"/>
          <w:szCs w:val="24"/>
        </w:rPr>
      </w:pPr>
      <w:r w:rsidRPr="00101D84">
        <w:rPr>
          <w:rFonts w:ascii="Bookman Old Style" w:hAnsi="Bookman Old Style" w:cs="DINOT-Regular"/>
          <w:sz w:val="24"/>
          <w:szCs w:val="24"/>
        </w:rPr>
        <w:t>Le texte ci-dessous fait 1015 mots. Le candidat rédigera une</w:t>
      </w:r>
      <w:r w:rsidRPr="00101D84">
        <w:rPr>
          <w:rFonts w:ascii="Bookman Old Style" w:hAnsi="Bookman Old Style" w:cs="DINOT-Bold"/>
          <w:b/>
          <w:bCs/>
          <w:sz w:val="24"/>
          <w:szCs w:val="24"/>
        </w:rPr>
        <w:t xml:space="preserve"> synthèse </w:t>
      </w:r>
      <w:r w:rsidR="00767033" w:rsidRPr="00101D84">
        <w:rPr>
          <w:rFonts w:ascii="Bookman Old Style" w:hAnsi="Bookman Old Style" w:cs="DINOT-Bold"/>
          <w:bCs/>
          <w:sz w:val="24"/>
          <w:szCs w:val="24"/>
        </w:rPr>
        <w:t>en 250</w:t>
      </w:r>
      <w:r w:rsidRPr="00101D84">
        <w:rPr>
          <w:rFonts w:ascii="Bookman Old Style" w:hAnsi="Bookman Old Style" w:cs="DINOT-Bold"/>
          <w:bCs/>
          <w:sz w:val="24"/>
          <w:szCs w:val="24"/>
        </w:rPr>
        <w:t xml:space="preserve"> mots</w:t>
      </w:r>
      <w:r w:rsidRPr="00101D84">
        <w:rPr>
          <w:rFonts w:ascii="Bookman Old Style" w:hAnsi="Bookman Old Style" w:cs="DINOT-Bold"/>
          <w:b/>
          <w:bCs/>
          <w:sz w:val="24"/>
          <w:szCs w:val="24"/>
        </w:rPr>
        <w:t xml:space="preserve">, </w:t>
      </w:r>
      <w:r w:rsidRPr="00101D84">
        <w:rPr>
          <w:rFonts w:ascii="Bookman Old Style" w:hAnsi="Bookman Old Style" w:cs="DINOT-Regular"/>
          <w:b/>
          <w:sz w:val="24"/>
          <w:szCs w:val="24"/>
        </w:rPr>
        <w:t>titrée</w:t>
      </w:r>
      <w:r w:rsidRPr="00101D84">
        <w:rPr>
          <w:rFonts w:ascii="Bookman Old Style" w:hAnsi="Bookman Old Style" w:cs="DINOT-Regular"/>
          <w:sz w:val="24"/>
          <w:szCs w:val="24"/>
        </w:rPr>
        <w:t xml:space="preserve">, présentant les idées essentielles du texte sans aucun jugement personnel ainsi qu’en évitant toute citation ou toute paraphrase.  </w:t>
      </w:r>
    </w:p>
    <w:p w14:paraId="19F9DD01" w14:textId="77777777" w:rsidR="00AA4DC7" w:rsidRPr="00101D84" w:rsidRDefault="00AA4DC7" w:rsidP="00AA4DC7">
      <w:pPr>
        <w:rPr>
          <w:rFonts w:ascii="Bookman Old Style" w:hAnsi="Bookman Old Style" w:cs="DINOT-Bold"/>
          <w:b/>
          <w:bCs/>
          <w:sz w:val="24"/>
          <w:szCs w:val="24"/>
        </w:rPr>
      </w:pPr>
    </w:p>
    <w:p w14:paraId="21A0404A" w14:textId="77777777" w:rsidR="00AA4DC7" w:rsidRPr="00101D84" w:rsidRDefault="00AA4DC7" w:rsidP="00AA4DC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101D84">
        <w:rPr>
          <w:rFonts w:ascii="Bookman Old Style" w:hAnsi="Bookman Old Style" w:cs="HelveticaNeue-Roman"/>
          <w:sz w:val="24"/>
          <w:szCs w:val="24"/>
        </w:rPr>
        <w:t>Le plein exercice de la liberté de l’information se heurte encore à de nombreux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obstacles… On voit se dessiner depuis quelques temps une remarquable tendance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à l’adoption de lois sur la liberté de l’information, mais l’expérience internationale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montre que cela n’est pas suffisant pour assurer le plein exercice du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droit des gens à être informés. Entre autres obstacles, la liberté de l’information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 xml:space="preserve">est compromise par la faiblesse des mécanismes d’accès et de mise en </w:t>
      </w:r>
      <w:proofErr w:type="spellStart"/>
      <w:r w:rsidRPr="00101D84">
        <w:rPr>
          <w:rFonts w:ascii="Bookman Old Style" w:hAnsi="Bookman Old Style" w:cs="HelveticaNeue-Roman"/>
          <w:sz w:val="24"/>
          <w:szCs w:val="24"/>
        </w:rPr>
        <w:t>oeuvre</w:t>
      </w:r>
      <w:proofErr w:type="spellEnd"/>
      <w:r w:rsidRPr="00101D84">
        <w:rPr>
          <w:rFonts w:ascii="Bookman Old Style" w:hAnsi="Bookman Old Style" w:cs="HelveticaNeue-Roman"/>
          <w:sz w:val="24"/>
          <w:szCs w:val="24"/>
        </w:rPr>
        <w:t>,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le caractère peu performant des systèmes d’enregistrement et d’archivage, et l’insuffisance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des contrôles au niveau de l’application des textes. Ceux qui exigent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d’être informés – et qui ne sont en réalité qu’une minorité, dans n’importe quel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pays – sont souvent confrontés à divers obstacles bien propres à les décourager :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procédures excessivement compliquées, longues et coûteuses, que ce soit pour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justifier leurs demandes ou pour obtenir des réponses. La question des dérogations</w:t>
      </w:r>
    </w:p>
    <w:p w14:paraId="1BCF10F4" w14:textId="77777777" w:rsidR="00AA4DC7" w:rsidRPr="00101D84" w:rsidRDefault="00AA4DC7" w:rsidP="00AA4DC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proofErr w:type="gramStart"/>
      <w:r w:rsidRPr="00101D84">
        <w:rPr>
          <w:rFonts w:ascii="Bookman Old Style" w:hAnsi="Bookman Old Style" w:cs="HelveticaNeue-Roman"/>
          <w:sz w:val="24"/>
          <w:szCs w:val="24"/>
        </w:rPr>
        <w:t>revêt</w:t>
      </w:r>
      <w:proofErr w:type="gramEnd"/>
      <w:r w:rsidRPr="00101D84">
        <w:rPr>
          <w:rFonts w:ascii="Bookman Old Style" w:hAnsi="Bookman Old Style" w:cs="HelveticaNeue-Roman"/>
          <w:sz w:val="24"/>
          <w:szCs w:val="24"/>
        </w:rPr>
        <w:t xml:space="preserve"> une importance cruciale à cet égard. Le principe d’exposition maximale</w:t>
      </w:r>
    </w:p>
    <w:p w14:paraId="71CA31B6" w14:textId="77777777" w:rsidR="00AA4DC7" w:rsidRPr="00101D84" w:rsidRDefault="00AA4DC7" w:rsidP="009C0305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proofErr w:type="gramStart"/>
      <w:r w:rsidRPr="00101D84">
        <w:rPr>
          <w:rFonts w:ascii="Bookman Old Style" w:hAnsi="Bookman Old Style" w:cs="HelveticaNeue-Roman"/>
          <w:sz w:val="24"/>
          <w:szCs w:val="24"/>
        </w:rPr>
        <w:t>signifie</w:t>
      </w:r>
      <w:proofErr w:type="gramEnd"/>
      <w:r w:rsidRPr="00101D84">
        <w:rPr>
          <w:rFonts w:ascii="Bookman Old Style" w:hAnsi="Bookman Old Style" w:cs="HelveticaNeue-Roman"/>
          <w:sz w:val="24"/>
          <w:szCs w:val="24"/>
        </w:rPr>
        <w:t xml:space="preserve"> que les individus devraient avoir accès à toutes les informations détenues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par l’administration, sauf dans les cas exceptionnels et bien précis où cela risque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de nuire aux intérêts supérieurs du pays. Malheureusement, il n’est pas rare que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l’exception de confidentialité soit invoquée – en référence à la législation sur le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secret d’État – pour justifier le refus arbitraire et sans aucun fondement de communiquer</w:t>
      </w:r>
      <w:r w:rsidR="009C0305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des informations.</w:t>
      </w:r>
    </w:p>
    <w:p w14:paraId="74E2017C" w14:textId="77777777" w:rsidR="00AA4DC7" w:rsidRPr="00101D84" w:rsidRDefault="00AA4DC7" w:rsidP="00AA4DC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101D84">
        <w:rPr>
          <w:rFonts w:ascii="Bookman Old Style" w:hAnsi="Bookman Old Style" w:cs="HelveticaNeue-Roman"/>
          <w:sz w:val="24"/>
          <w:szCs w:val="24"/>
        </w:rPr>
        <w:t>Tous ces dysfonctionnements montrent qu’il ne suffit pas de légiférer sur la liberté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 xml:space="preserve">de l’information pour garantir le droit de savoir ; encore faut-il que les </w:t>
      </w:r>
      <w:r w:rsidRPr="00101D84">
        <w:rPr>
          <w:rFonts w:ascii="Bookman Old Style" w:hAnsi="Bookman Old Style" w:cs="HelveticaNeue-Roman"/>
          <w:sz w:val="24"/>
          <w:szCs w:val="24"/>
        </w:rPr>
        <w:lastRenderedPageBreak/>
        <w:t>pouvoirs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publics soient équipés pour pouvoir répondre dans les meilleurs délais aux demandes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d’information ou mettre spontanément à la disposition du public certaines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informations essentielles. D’où la nécessité d’initiatives et de politiques propres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à développer les capacités de l’appareil institutionnel d’État, à mettre en place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des systèmes efficaces de gestion de l’information, à assurer la bonne tenue des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registres et à informatiser et archiver progressivement l’information disponible. Il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importe également de mettre sur pied des mécanismes appropriés d’application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et de contrôle en les dotant des moyens financiers et du personnel qualifié nécessaires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pour que l’ensemble du dispositif fonctionne sans à-coups. Cela dit, les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obstacles au droit de savoir ne sont pas tous imputables à un déficit de capacités,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et il se pourrait que la principale difficulté consiste à passer d’une culture du secret</w:t>
      </w:r>
    </w:p>
    <w:p w14:paraId="1D5FE151" w14:textId="77777777" w:rsidR="00AA4DC7" w:rsidRPr="00101D84" w:rsidRDefault="00AA4DC7" w:rsidP="00101D84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proofErr w:type="gramStart"/>
      <w:r w:rsidRPr="00101D84">
        <w:rPr>
          <w:rFonts w:ascii="Bookman Old Style" w:hAnsi="Bookman Old Style" w:cs="HelveticaNeue-Roman"/>
          <w:sz w:val="24"/>
          <w:szCs w:val="24"/>
        </w:rPr>
        <w:t>à</w:t>
      </w:r>
      <w:proofErr w:type="gramEnd"/>
      <w:r w:rsidRPr="00101D84">
        <w:rPr>
          <w:rFonts w:ascii="Bookman Old Style" w:hAnsi="Bookman Old Style" w:cs="HelveticaNeue-Roman"/>
          <w:sz w:val="24"/>
          <w:szCs w:val="24"/>
        </w:rPr>
        <w:t xml:space="preserve"> une culture de la transparence. Cela passe par un changement radical de mentalité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des politiciens et des bureaucrates à tous les niveaux de l’administration et par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un effort de sensibilisation des administrés pour les inciter à exercer activement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leur droit de savoir.</w:t>
      </w:r>
    </w:p>
    <w:p w14:paraId="0253B03A" w14:textId="77777777" w:rsidR="00AA4DC7" w:rsidRPr="00101D84" w:rsidRDefault="00AA4DC7" w:rsidP="00AA4DC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101D84">
        <w:rPr>
          <w:rFonts w:ascii="Bookman Old Style" w:hAnsi="Bookman Old Style" w:cs="HelveticaNeue-Roman"/>
          <w:sz w:val="24"/>
          <w:szCs w:val="24"/>
        </w:rPr>
        <w:t>Bon nombre de pays n’ont toujours pas adopté de loi sur la liberté de l’information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en conformité avec les normes internationales. Et là où une telle législation est en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vigueur, on constate parfois une régression dans son application, quand ce ne sont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pas des amendements qui menacent de porter atteinte au droit de savoir. En outre,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il semblerait que la liberté de l’information rencontre encore des obstacles considérables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au niveau local dans de nombreux pays et que, dans d’autres, elle ne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soit pas suffisamment appliquée en dehors du périmètre de l’administration centrale.</w:t>
      </w:r>
    </w:p>
    <w:p w14:paraId="5F9C65B4" w14:textId="77777777" w:rsidR="00AA4DC7" w:rsidRPr="00101D84" w:rsidRDefault="00AA4DC7" w:rsidP="00AA4DC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r w:rsidRPr="00101D84">
        <w:rPr>
          <w:rFonts w:ascii="Bookman Old Style" w:hAnsi="Bookman Old Style" w:cs="HelveticaNeue-Roman"/>
          <w:sz w:val="24"/>
          <w:szCs w:val="24"/>
        </w:rPr>
        <w:t>En résumé, et compte tenu des difficultés d’application qui viennent d’être</w:t>
      </w:r>
    </w:p>
    <w:p w14:paraId="0DF692EC" w14:textId="77777777" w:rsidR="00AA4DC7" w:rsidRPr="00101D84" w:rsidRDefault="00AA4DC7" w:rsidP="00AA4DC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proofErr w:type="gramStart"/>
      <w:r w:rsidRPr="00101D84">
        <w:rPr>
          <w:rFonts w:ascii="Bookman Old Style" w:hAnsi="Bookman Old Style" w:cs="HelveticaNeue-Roman"/>
          <w:sz w:val="24"/>
          <w:szCs w:val="24"/>
        </w:rPr>
        <w:t>évoquées</w:t>
      </w:r>
      <w:proofErr w:type="gramEnd"/>
      <w:r w:rsidRPr="00101D84">
        <w:rPr>
          <w:rFonts w:ascii="Bookman Old Style" w:hAnsi="Bookman Old Style" w:cs="HelveticaNeue-Roman"/>
          <w:sz w:val="24"/>
          <w:szCs w:val="24"/>
        </w:rPr>
        <w:t>, l’adoption d’une loi sur la li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berté de l’information, loin de </w:t>
      </w:r>
      <w:r w:rsidRPr="00101D84">
        <w:rPr>
          <w:rFonts w:ascii="Bookman Old Style" w:hAnsi="Bookman Old Style" w:cs="HelveticaNeue-Roman"/>
          <w:sz w:val="24"/>
          <w:szCs w:val="24"/>
        </w:rPr>
        <w:t>constituer la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panacée, doit s’accompagner d’efforts peut-être encore plus rigoureux pour veiller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à ce qu’elle ait vraiment les effets bénéfiques qu’on en attend.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L’existence d’une loi sur la liberté de l’information est un élément indispensable du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paysage médiatique, étant donné que les médias ont bien du mal à s’acquitter de leur mission s’ils n’ont pas accès à l’information détenue par les pouvoirs publics.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En même temps, même si la liberté de l’information est garantie par la loi, le droit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 xml:space="preserve">du public à être informé </w:t>
      </w:r>
      <w:proofErr w:type="gramStart"/>
      <w:r w:rsidRPr="00101D84">
        <w:rPr>
          <w:rFonts w:ascii="Bookman Old Style" w:hAnsi="Bookman Old Style" w:cs="HelveticaNeue-Roman"/>
          <w:sz w:val="24"/>
          <w:szCs w:val="24"/>
        </w:rPr>
        <w:t>a</w:t>
      </w:r>
      <w:proofErr w:type="gramEnd"/>
      <w:r w:rsidRPr="00101D84">
        <w:rPr>
          <w:rFonts w:ascii="Bookman Old Style" w:hAnsi="Bookman Old Style" w:cs="HelveticaNeue-Roman"/>
          <w:sz w:val="24"/>
          <w:szCs w:val="24"/>
        </w:rPr>
        <w:t xml:space="preserve"> besoin pour s’exercer effectivement de médias indépendants,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libres, pluralistes et compétents qui recueillent et diffusent des informations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dûment vérifiées dans le respect de leur éthique professionnelle. Toutefois,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l’adoption d’une loi sur la liberté de l’information ne suffit pas en soi à garantir la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liberté d’expression et la liberté de la presse, et les exemples ne manquent pas de</w:t>
      </w:r>
    </w:p>
    <w:p w14:paraId="476F1AC3" w14:textId="77777777" w:rsidR="00AA4DC7" w:rsidRPr="00101D84" w:rsidRDefault="00AA4DC7" w:rsidP="00AA4DC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proofErr w:type="gramStart"/>
      <w:r w:rsidRPr="00101D84">
        <w:rPr>
          <w:rFonts w:ascii="Bookman Old Style" w:hAnsi="Bookman Old Style" w:cs="HelveticaNeue-Roman"/>
          <w:sz w:val="24"/>
          <w:szCs w:val="24"/>
        </w:rPr>
        <w:t>lois</w:t>
      </w:r>
      <w:proofErr w:type="gramEnd"/>
      <w:r w:rsidRPr="00101D84">
        <w:rPr>
          <w:rFonts w:ascii="Bookman Old Style" w:hAnsi="Bookman Old Style" w:cs="HelveticaNeue-Roman"/>
          <w:sz w:val="24"/>
          <w:szCs w:val="24"/>
        </w:rPr>
        <w:t xml:space="preserve"> qui ont pour effet pervers de restreindre plutôt que de promouvoir la liberté de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l’information.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Les médias ont souvent joué un rôle important dans la promulgation des lois sur la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liberté de l’information, mais c’est loin d’être toujours le cas. Certains journalistes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peuvent être opposés à toute </w:t>
      </w:r>
      <w:r w:rsidRPr="00101D84">
        <w:rPr>
          <w:rFonts w:ascii="Bookman Old Style" w:hAnsi="Bookman Old Style" w:cs="HelveticaNeue-Roman"/>
          <w:sz w:val="24"/>
          <w:szCs w:val="24"/>
        </w:rPr>
        <w:t>libéralisation par crainte de perdre l’exclusivité des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informations qu’ils sont à même de se procurer par d’autres moyens. D’autres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craignent que les bénéfices potentiels d’une loi sur la liberté de l’information soient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largement occultés par la lourdeur de l’appareil administratif dans le traitement des</w:t>
      </w:r>
    </w:p>
    <w:p w14:paraId="0C627912" w14:textId="77777777" w:rsidR="00AA4DC7" w:rsidRPr="00101D84" w:rsidRDefault="00AA4DC7" w:rsidP="00AA4DC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proofErr w:type="gramStart"/>
      <w:r w:rsidRPr="00101D84">
        <w:rPr>
          <w:rFonts w:ascii="Bookman Old Style" w:hAnsi="Bookman Old Style" w:cs="HelveticaNeue-Roman"/>
          <w:sz w:val="24"/>
          <w:szCs w:val="24"/>
        </w:rPr>
        <w:t>dossiers</w:t>
      </w:r>
      <w:proofErr w:type="gramEnd"/>
      <w:r w:rsidRPr="00101D84">
        <w:rPr>
          <w:rFonts w:ascii="Bookman Old Style" w:hAnsi="Bookman Old Style" w:cs="HelveticaNeue-Roman"/>
          <w:sz w:val="24"/>
          <w:szCs w:val="24"/>
        </w:rPr>
        <w:t xml:space="preserve"> (d’autant plus que, selon certains témoignages, les demandes formulées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 xml:space="preserve">par des journalistes ne sont pas à l’abri de </w:t>
      </w:r>
      <w:proofErr w:type="spellStart"/>
      <w:r w:rsidRPr="00101D84">
        <w:rPr>
          <w:rFonts w:ascii="Bookman Old Style" w:hAnsi="Bookman Old Style" w:cs="HelveticaNeue-Roman"/>
          <w:sz w:val="24"/>
          <w:szCs w:val="24"/>
        </w:rPr>
        <w:t>manoeuvres</w:t>
      </w:r>
      <w:proofErr w:type="spellEnd"/>
      <w:r w:rsidRPr="00101D84">
        <w:rPr>
          <w:rFonts w:ascii="Bookman Old Style" w:hAnsi="Bookman Old Style" w:cs="HelveticaNeue-Roman"/>
          <w:sz w:val="24"/>
          <w:szCs w:val="24"/>
        </w:rPr>
        <w:t xml:space="preserve"> dilatoires), sans parler des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 xml:space="preserve">complications inhérentes aux procédures d’appel </w:t>
      </w:r>
      <w:r w:rsidRPr="00101D84">
        <w:rPr>
          <w:rFonts w:ascii="Bookman Old Style" w:hAnsi="Bookman Old Style" w:cs="HelveticaNeue-Roman"/>
          <w:sz w:val="24"/>
          <w:szCs w:val="24"/>
        </w:rPr>
        <w:lastRenderedPageBreak/>
        <w:t>éventuelles. Par contre, certains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de leurs collègues peuvent être favorables à une réforme qui leur permettrait d’accéder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à d’autres sources d’information que leurs contacts personnels. Effectivement,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certains journalistes ont su tirer un parti spectaculaire des lois sur la liberté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de l’information, qui constituent un outil particulièrement efficace au service du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journalisme d’investigation. Mais au-delà de l’opinion des journalistes eux-mêmes,</w:t>
      </w:r>
    </w:p>
    <w:p w14:paraId="38CB4CEE" w14:textId="77777777" w:rsidR="00AA4DC7" w:rsidRPr="00101D84" w:rsidRDefault="00AA4DC7" w:rsidP="00101D84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HelveticaNeue-Roman"/>
          <w:sz w:val="24"/>
          <w:szCs w:val="24"/>
        </w:rPr>
      </w:pPr>
      <w:proofErr w:type="gramStart"/>
      <w:r w:rsidRPr="00101D84">
        <w:rPr>
          <w:rFonts w:ascii="Bookman Old Style" w:hAnsi="Bookman Old Style" w:cs="HelveticaNeue-Roman"/>
          <w:sz w:val="24"/>
          <w:szCs w:val="24"/>
        </w:rPr>
        <w:t>l’attitude</w:t>
      </w:r>
      <w:proofErr w:type="gramEnd"/>
      <w:r w:rsidRPr="00101D84">
        <w:rPr>
          <w:rFonts w:ascii="Bookman Old Style" w:hAnsi="Bookman Old Style" w:cs="HelveticaNeue-Roman"/>
          <w:sz w:val="24"/>
          <w:szCs w:val="24"/>
        </w:rPr>
        <w:t xml:space="preserve"> des patrons de presse concernant la liberté de l’information et le degré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d’indépendance et le niveau de concentration des médias dans un pays donné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sont évidemment des facteurs déterminants. On voit mal en effet le patron d’un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média proche du pouvoir prôner la libéralisation de l’information si le gouvernement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y est hostile, ou à plus forte raison encourager ses journalistes à en profiter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pour publier des infos donnant une image négative des gens en place. Par contre,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les propriétaires d’organes de presse moins dépendants du pouvoir encourageront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>plus volontiers les journalistes à réclamer la promulgation de lois sur la liberté de</w:t>
      </w:r>
      <w:r w:rsidR="00101D84" w:rsidRPr="00101D84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101D84">
        <w:rPr>
          <w:rFonts w:ascii="Bookman Old Style" w:hAnsi="Bookman Old Style" w:cs="HelveticaNeue-Roman"/>
          <w:sz w:val="24"/>
          <w:szCs w:val="24"/>
        </w:rPr>
        <w:t xml:space="preserve">l’information, et à en faire bon usage une fois qu’elles auront été adoptées. </w:t>
      </w:r>
    </w:p>
    <w:p w14:paraId="6A531270" w14:textId="77777777" w:rsidR="00AA4DC7" w:rsidRPr="00101D84" w:rsidRDefault="00AA4DC7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</w:t>
      </w:r>
    </w:p>
    <w:p w14:paraId="0FF73393" w14:textId="77777777" w:rsidR="00AA4DC7" w:rsidRPr="00101D84" w:rsidRDefault="00AA4DC7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19823C90" w14:textId="77777777" w:rsidR="00AA4DC7" w:rsidRPr="00101D84" w:rsidRDefault="00AA4DC7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345A0F98" w14:textId="77777777" w:rsidR="00C70909" w:rsidRPr="00101D84" w:rsidRDefault="00C70909" w:rsidP="007F1E74">
      <w:pPr>
        <w:pStyle w:val="Paragraphedeliste"/>
        <w:numPr>
          <w:ilvl w:val="0"/>
          <w:numId w:val="1"/>
        </w:num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> A TRAITER AU CHOIX</w:t>
      </w:r>
      <w:r w:rsidR="00AE06C6"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 : / 10 points </w:t>
      </w:r>
    </w:p>
    <w:p w14:paraId="7E15054B" w14:textId="77777777" w:rsidR="00C70909" w:rsidRPr="00101D84" w:rsidRDefault="00C7090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07790E9A" w14:textId="77777777" w:rsidR="00C70909" w:rsidRPr="00101D84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>1-A partir d’un sujet choisi, proposez votre protocole d’interview</w:t>
      </w:r>
    </w:p>
    <w:p w14:paraId="4A31E344" w14:textId="77777777" w:rsidR="00C70909" w:rsidRPr="00101D84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>2-A partir d’un seul sujet choisi, proposez :  </w:t>
      </w:r>
    </w:p>
    <w:p w14:paraId="76E87FD1" w14:textId="77777777" w:rsidR="00C70909" w:rsidRPr="00101D84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>-</w:t>
      </w:r>
      <w:r w:rsidRPr="00101D84">
        <w:rPr>
          <w:rFonts w:ascii="Bookman Old Style" w:eastAsia="Times New Roman" w:hAnsi="Bookman Old Style"/>
          <w:sz w:val="24"/>
          <w:szCs w:val="24"/>
          <w:lang w:eastAsia="fr-FR"/>
        </w:rPr>
        <w:t>          </w:t>
      </w:r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>un angle pour une enquête</w:t>
      </w:r>
    </w:p>
    <w:p w14:paraId="507C6624" w14:textId="77777777" w:rsidR="00C70909" w:rsidRPr="00101D84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>-</w:t>
      </w:r>
      <w:r w:rsidRPr="00101D84">
        <w:rPr>
          <w:rFonts w:ascii="Bookman Old Style" w:eastAsia="Times New Roman" w:hAnsi="Bookman Old Style"/>
          <w:sz w:val="24"/>
          <w:szCs w:val="24"/>
          <w:lang w:eastAsia="fr-FR"/>
        </w:rPr>
        <w:t>          </w:t>
      </w:r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un </w:t>
      </w:r>
      <w:proofErr w:type="gramStart"/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>angle  pour</w:t>
      </w:r>
      <w:proofErr w:type="gramEnd"/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un reportage</w:t>
      </w:r>
    </w:p>
    <w:p w14:paraId="4F675E99" w14:textId="77777777" w:rsidR="00C70909" w:rsidRPr="00101D84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3-A partir d’un sujet choisi, </w:t>
      </w:r>
      <w:proofErr w:type="gramStart"/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>proposez  un</w:t>
      </w:r>
      <w:proofErr w:type="gramEnd"/>
      <w:r w:rsidRPr="00101D84">
        <w:rPr>
          <w:rFonts w:ascii="Bookman Old Style" w:eastAsia="Times New Roman" w:hAnsi="Bookman Old Style" w:cs="Helvetica"/>
          <w:sz w:val="24"/>
          <w:szCs w:val="24"/>
          <w:lang w:eastAsia="fr-FR"/>
        </w:rPr>
        <w:t xml:space="preserve"> synopsis pour une enquête </w:t>
      </w:r>
    </w:p>
    <w:p w14:paraId="4BA50686" w14:textId="77777777" w:rsidR="00C70909" w:rsidRPr="00101D84" w:rsidRDefault="00C70909">
      <w:pPr>
        <w:rPr>
          <w:rFonts w:ascii="Bookman Old Style" w:hAnsi="Bookman Old Style"/>
          <w:sz w:val="24"/>
          <w:szCs w:val="24"/>
        </w:rPr>
      </w:pPr>
    </w:p>
    <w:sectPr w:rsidR="00C70909" w:rsidRPr="00101D84" w:rsidSect="00A27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8FB62" w14:textId="77777777" w:rsidR="000F5998" w:rsidRDefault="000F5998" w:rsidP="00101D84">
      <w:pPr>
        <w:spacing w:after="0" w:line="240" w:lineRule="auto"/>
      </w:pPr>
      <w:r>
        <w:separator/>
      </w:r>
    </w:p>
  </w:endnote>
  <w:endnote w:type="continuationSeparator" w:id="0">
    <w:p w14:paraId="48612167" w14:textId="77777777" w:rsidR="000F5998" w:rsidRDefault="000F5998" w:rsidP="00101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INO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O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47016"/>
      <w:docPartObj>
        <w:docPartGallery w:val="Page Numbers (Bottom of Page)"/>
        <w:docPartUnique/>
      </w:docPartObj>
    </w:sdtPr>
    <w:sdtEndPr/>
    <w:sdtContent>
      <w:p w14:paraId="4B2F45E0" w14:textId="77777777" w:rsidR="00101D84" w:rsidRDefault="000F5998">
        <w:pPr>
          <w:pStyle w:val="Pieddepage"/>
        </w:pPr>
        <w:r>
          <w:rPr>
            <w:noProof/>
            <w:lang w:eastAsia="zh-TW"/>
          </w:rPr>
          <w:pict w14:anchorId="443FACB7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49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049">
                <w:txbxContent>
                  <w:p w14:paraId="59D1CC6F" w14:textId="77777777" w:rsidR="00101D84" w:rsidRDefault="000F5998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101D84" w:rsidRPr="00101D84">
                      <w:rPr>
                        <w:noProof/>
                        <w:sz w:val="16"/>
                        <w:szCs w:val="16"/>
                      </w:rPr>
                      <w:t>3</w:t>
                    </w:r>
                    <w:r>
                      <w:rPr>
                        <w:noProof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F0BE1" w14:textId="77777777" w:rsidR="000F5998" w:rsidRDefault="000F5998" w:rsidP="00101D84">
      <w:pPr>
        <w:spacing w:after="0" w:line="240" w:lineRule="auto"/>
      </w:pPr>
      <w:r>
        <w:separator/>
      </w:r>
    </w:p>
  </w:footnote>
  <w:footnote w:type="continuationSeparator" w:id="0">
    <w:p w14:paraId="4A762C78" w14:textId="77777777" w:rsidR="000F5998" w:rsidRDefault="000F5998" w:rsidP="00101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909"/>
    <w:rsid w:val="000F5998"/>
    <w:rsid w:val="00101D84"/>
    <w:rsid w:val="00113116"/>
    <w:rsid w:val="001747BE"/>
    <w:rsid w:val="00262A4C"/>
    <w:rsid w:val="003C68BA"/>
    <w:rsid w:val="0041643B"/>
    <w:rsid w:val="00597CD9"/>
    <w:rsid w:val="00767033"/>
    <w:rsid w:val="007F1E74"/>
    <w:rsid w:val="008F40CF"/>
    <w:rsid w:val="009C0305"/>
    <w:rsid w:val="00A27B1D"/>
    <w:rsid w:val="00A27E78"/>
    <w:rsid w:val="00AA4DC7"/>
    <w:rsid w:val="00AD1985"/>
    <w:rsid w:val="00AD7611"/>
    <w:rsid w:val="00AE06C6"/>
    <w:rsid w:val="00B56179"/>
    <w:rsid w:val="00C70909"/>
    <w:rsid w:val="00CE67C6"/>
    <w:rsid w:val="00D80506"/>
    <w:rsid w:val="00D94C74"/>
    <w:rsid w:val="00E84CFD"/>
    <w:rsid w:val="00F2007A"/>
    <w:rsid w:val="00F2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BD48487"/>
  <w15:docId w15:val="{2133D85F-D4BC-4F4B-ADB5-D94B2307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101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01D84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101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01D8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1100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8</cp:revision>
  <dcterms:created xsi:type="dcterms:W3CDTF">2018-09-16T18:37:00Z</dcterms:created>
  <dcterms:modified xsi:type="dcterms:W3CDTF">2021-09-20T17:11:00Z</dcterms:modified>
</cp:coreProperties>
</file>